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34CD7" w14:textId="77777777" w:rsidR="003479AD" w:rsidRDefault="003479AD" w:rsidP="003479AD">
      <w:r>
        <w:t>“We are presented with a dilemma; when NA members identify themselves as addicts and alcoholics, or talk about</w:t>
      </w:r>
    </w:p>
    <w:p w14:paraId="4097B849" w14:textId="77777777" w:rsidR="003479AD" w:rsidRDefault="003479AD" w:rsidP="003479AD">
      <w:r>
        <w:t>living clean and sober, the clarity of the NA message is blurred. To speak in this manner suggests that there are two</w:t>
      </w:r>
    </w:p>
    <w:p w14:paraId="17859CD1" w14:textId="77777777" w:rsidR="003479AD" w:rsidRDefault="003479AD" w:rsidP="003479AD">
      <w:r>
        <w:t>diseases, that one drug is somehow separate from the rest, requiring special recognition. Narcotics Anonymous</w:t>
      </w:r>
    </w:p>
    <w:p w14:paraId="7BDDBEA9" w14:textId="77777777" w:rsidR="003479AD" w:rsidRDefault="003479AD" w:rsidP="003479AD">
      <w:r>
        <w:t>makes no distinction between drugs. Our identification as addicts is all‐inclusive, which allows us to concentrate on</w:t>
      </w:r>
    </w:p>
    <w:p w14:paraId="085616D1" w14:textId="04E85734" w:rsidR="00214E4A" w:rsidRDefault="003479AD" w:rsidP="003479AD">
      <w:r>
        <w:t>our similarities, not our differences.”</w:t>
      </w:r>
      <w:r>
        <w:cr/>
      </w:r>
      <w:bookmarkStart w:id="0" w:name="_GoBack"/>
      <w:bookmarkEnd w:id="0"/>
    </w:p>
    <w:sectPr w:rsidR="00214E4A" w:rsidSect="003479AD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AD"/>
    <w:rsid w:val="003479AD"/>
    <w:rsid w:val="00C47CF2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431FD"/>
  <w15:chartTrackingRefBased/>
  <w15:docId w15:val="{2BA62AE6-6007-45DA-A4E6-A60F984C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1</cp:revision>
  <dcterms:created xsi:type="dcterms:W3CDTF">2019-07-19T20:34:00Z</dcterms:created>
  <dcterms:modified xsi:type="dcterms:W3CDTF">2019-07-19T20:35:00Z</dcterms:modified>
</cp:coreProperties>
</file>